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C" w:rsidRPr="005C3913" w:rsidRDefault="00D2079C" w:rsidP="00950A79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2,5 года</w:t>
      </w:r>
      <w:r w:rsidR="005C3913">
        <w:rPr>
          <w:b/>
          <w:lang w:val="hu-HU"/>
        </w:rPr>
        <w:t xml:space="preserve"> (2,5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88"/>
        <w:gridCol w:w="1559"/>
        <w:gridCol w:w="1560"/>
        <w:gridCol w:w="850"/>
        <w:gridCol w:w="530"/>
        <w:gridCol w:w="1251"/>
      </w:tblGrid>
      <w:tr w:rsidR="00B02A7D" w:rsidTr="00037FE8">
        <w:trPr>
          <w:trHeight w:val="340"/>
        </w:trPr>
        <w:tc>
          <w:tcPr>
            <w:tcW w:w="8188" w:type="dxa"/>
          </w:tcPr>
          <w:p w:rsidR="00B02A7D" w:rsidRDefault="00B02A7D" w:rsidP="00326F9E"/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B02A7D">
            <w:pPr>
              <w:jc w:val="center"/>
            </w:pPr>
            <w:r>
              <w:rPr>
                <w:sz w:val="18"/>
                <w:szCs w:val="18"/>
              </w:rPr>
              <w:t>Наблюдения патронажной сестры: Замечено/</w:t>
            </w:r>
            <w:r w:rsidR="00037FE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Ребенок сообща</w:t>
            </w:r>
            <w:r w:rsidR="00037FE8">
              <w:rPr>
                <w:sz w:val="20"/>
                <w:szCs w:val="20"/>
              </w:rPr>
              <w:t>ет, что ему нужно в туалет?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Ребенок может </w:t>
            </w:r>
            <w:r w:rsidR="00037FE8">
              <w:rPr>
                <w:sz w:val="20"/>
                <w:szCs w:val="20"/>
              </w:rPr>
              <w:t>пнуть ногой мяч, камушек?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503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Ребенок самостоятельно поднимается по короткой лестнице (из 3–4 ступенек), чередуя ноги? (Выберите «Пока нет», если он может подниматься по лестнице только за руку. Выберите «Да», если он самостоятель</w:t>
            </w:r>
            <w:r w:rsidR="00037FE8">
              <w:rPr>
                <w:sz w:val="20"/>
                <w:szCs w:val="20"/>
              </w:rPr>
              <w:t>но держится за перила.)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97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Ребенок по вашей просьбе может подобрать два предмета одинакового цвета (напр., на просьбу «При</w:t>
            </w:r>
            <w:r w:rsidR="00037FE8">
              <w:rPr>
                <w:sz w:val="20"/>
                <w:szCs w:val="20"/>
              </w:rPr>
              <w:t>неси сюда такой же носок!»)?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Ребенок говорит </w:t>
            </w:r>
            <w:r w:rsidR="00037FE8">
              <w:rPr>
                <w:sz w:val="20"/>
                <w:szCs w:val="20"/>
              </w:rPr>
              <w:t>предложениями из 3–4 слов?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 разговоре ребенок использует такие с</w:t>
            </w:r>
            <w:r w:rsidR="00037FE8">
              <w:rPr>
                <w:sz w:val="20"/>
                <w:szCs w:val="20"/>
              </w:rPr>
              <w:t>лова, как «я, мое, твое»?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97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Может ли ребенок ответить на вопрос «Что он(а) делает?» (напр., «Что делает мальчик?» — бежит, ес</w:t>
            </w:r>
            <w:r w:rsidR="00037FE8">
              <w:rPr>
                <w:sz w:val="20"/>
                <w:szCs w:val="20"/>
              </w:rPr>
              <w:t>т, плачет, спит и т. п.)?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Когда играют другие дети, ребенок проб</w:t>
            </w:r>
            <w:r w:rsidR="00037FE8">
              <w:rPr>
                <w:sz w:val="20"/>
                <w:szCs w:val="20"/>
              </w:rPr>
              <w:t>ует присоединиться к ним?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Ребенок самостоятельно ест/пьет и почти не пачкается при этом? (Пролить немног</w:t>
            </w:r>
            <w:r w:rsidR="00037FE8">
              <w:rPr>
                <w:sz w:val="20"/>
                <w:szCs w:val="20"/>
              </w:rPr>
              <w:t>о еды из ложки допускается.)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503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 Ребенок понимает, когда его о чем-то просят, но не помогают жестом? (Напр., вы говорите: «Пожалуйста, одень тапочки!» — но не показываете на тапочки. Или просите: «Катюша, вытри ротик!» —</w:t>
            </w:r>
            <w:r w:rsidR="00037FE8">
              <w:rPr>
                <w:sz w:val="20"/>
                <w:szCs w:val="20"/>
              </w:rPr>
              <w:t xml:space="preserve"> но не протягиваете салфетку.)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Ребенок пр</w:t>
            </w:r>
            <w:r w:rsidR="00037FE8">
              <w:rPr>
                <w:sz w:val="20"/>
                <w:szCs w:val="20"/>
              </w:rPr>
              <w:t>обует самостоятельно одеться?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  <w:tr w:rsidR="00B02A7D" w:rsidTr="00037FE8">
        <w:trPr>
          <w:trHeight w:val="340"/>
        </w:trPr>
        <w:tc>
          <w:tcPr>
            <w:tcW w:w="8188" w:type="dxa"/>
          </w:tcPr>
          <w:p w:rsidR="00B02A7D" w:rsidRPr="00D2079C" w:rsidRDefault="00B02A7D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Ребенок может перелистать книжку с тонкой бумагой, газету?</w:t>
            </w:r>
          </w:p>
        </w:tc>
        <w:tc>
          <w:tcPr>
            <w:tcW w:w="1559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2A7D" w:rsidRPr="00E66A07" w:rsidRDefault="00B02A7D" w:rsidP="00326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bottom w:val="nil"/>
            </w:tcBorders>
          </w:tcPr>
          <w:p w:rsidR="00B02A7D" w:rsidRDefault="00B02A7D" w:rsidP="00326F9E"/>
        </w:tc>
        <w:tc>
          <w:tcPr>
            <w:tcW w:w="1251" w:type="dxa"/>
          </w:tcPr>
          <w:p w:rsidR="00B02A7D" w:rsidRDefault="00B02A7D" w:rsidP="00326F9E"/>
        </w:tc>
      </w:tr>
    </w:tbl>
    <w:p w:rsidR="00192AF0" w:rsidRPr="00B94CBF" w:rsidRDefault="00192AF0" w:rsidP="00B94CBF"/>
    <w:sectPr w:rsidR="00192AF0" w:rsidRPr="00B94CBF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A0" w:rsidRDefault="00ED3AA0" w:rsidP="003E25ED">
      <w:pPr>
        <w:spacing w:after="0" w:line="240" w:lineRule="auto"/>
      </w:pPr>
      <w:r>
        <w:separator/>
      </w:r>
    </w:p>
  </w:endnote>
  <w:endnote w:type="continuationSeparator" w:id="0">
    <w:p w:rsidR="00ED3AA0" w:rsidRDefault="00ED3AA0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037FE8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D02055" w:rsidRDefault="00037FE8" w:rsidP="00D02055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</w:rPr>
    </w:pPr>
    <w:r>
      <w:rPr>
        <w:rFonts w:ascii="Times New Roman" w:hAnsi="Times New Roman"/>
      </w:rPr>
      <w:t xml:space="preserve"> да         </w:t>
    </w:r>
    <w:r w:rsidR="00D02055">
      <w:rPr>
        <w:rFonts w:ascii="Times New Roman" w:hAnsi="Times New Roman"/>
      </w:rPr>
      <w:t xml:space="preserve"> нет </w:t>
    </w:r>
  </w:p>
  <w:p w:rsidR="006C47F7" w:rsidRPr="00666DA2" w:rsidRDefault="006C47F7" w:rsidP="00621848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color w:val="FF0000"/>
        <w:spacing w:val="-1"/>
      </w:rPr>
    </w:pPr>
  </w:p>
  <w:p w:rsidR="006C47F7" w:rsidRPr="00D02055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Дата: «..........» .......................... (месяц) ............. (год) </w:t>
    </w:r>
  </w:p>
  <w:p w:rsidR="006C47F7" w:rsidRPr="00D02055" w:rsidRDefault="006C47F7" w:rsidP="00037FE8">
    <w:pPr>
      <w:widowControl w:val="0"/>
      <w:autoSpaceDE w:val="0"/>
      <w:autoSpaceDN w:val="0"/>
      <w:adjustRightInd w:val="0"/>
      <w:spacing w:after="0" w:line="254" w:lineRule="exact"/>
      <w:ind w:left="1803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D02055" w:rsidRDefault="00037FE8" w:rsidP="006C47F7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ab/>
    </w:r>
    <w:r w:rsidR="006C47F7">
      <w:rPr>
        <w:rFonts w:ascii="Times New Roman" w:hAnsi="Times New Roman"/>
      </w:rPr>
      <w:t xml:space="preserve">м. п. </w:t>
    </w:r>
    <w:r w:rsidR="006C47F7">
      <w:rPr>
        <w:rFonts w:ascii="Times New Roman" w:hAnsi="Times New Roman"/>
        <w:sz w:val="24"/>
        <w:szCs w:val="24"/>
      </w:rPr>
      <w:tab/>
    </w:r>
    <w:r w:rsidR="006C47F7">
      <w:rPr>
        <w:rFonts w:ascii="Times New Roman" w:hAnsi="Times New Roman"/>
      </w:rPr>
      <w:t xml:space="preserve">подпись участковой патронажной сестры </w:t>
    </w:r>
  </w:p>
  <w:p w:rsidR="006C47F7" w:rsidRPr="00D02055" w:rsidRDefault="006C47F7" w:rsidP="006C47F7">
    <w:pPr>
      <w:pStyle w:val="llb"/>
    </w:pPr>
    <w:r>
      <w:rPr>
        <w:rFonts w:ascii="Times New Roman" w:hAnsi="Times New Roman"/>
      </w:rPr>
      <w:t xml:space="preserve">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A0" w:rsidRDefault="00ED3AA0" w:rsidP="003E25ED">
      <w:pPr>
        <w:spacing w:after="0" w:line="240" w:lineRule="auto"/>
      </w:pPr>
      <w:r>
        <w:separator/>
      </w:r>
    </w:p>
  </w:footnote>
  <w:footnote w:type="continuationSeparator" w:id="0">
    <w:p w:rsidR="00ED3AA0" w:rsidRDefault="00ED3AA0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D02055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D02055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                                           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E25ED" w:rsidRDefault="00D02055" w:rsidP="003E25ED">
    <w:pPr>
      <w:pStyle w:val="lfej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ФИО матери: </w:t>
    </w:r>
    <w:r w:rsidR="00037FE8">
      <w:rPr>
        <w:rFonts w:ascii="Times New Roman" w:hAnsi="Times New Roman"/>
        <w:b/>
        <w:bCs/>
      </w:rPr>
      <w:t>………………………</w:t>
    </w:r>
    <w:r>
      <w:rPr>
        <w:rFonts w:ascii="Times New Roman" w:hAnsi="Times New Roman"/>
        <w:b/>
        <w:bCs/>
      </w:rPr>
      <w:t>….. Домашний адрес/адрес пребывания (с почтовым индексом):</w:t>
    </w:r>
    <w:r>
      <w:rPr>
        <w:rFonts w:ascii="Times New Roman" w:hAnsi="Times New Roman"/>
      </w:rPr>
      <w:t xml:space="preserve"> .....................................................</w:t>
    </w:r>
    <w:r w:rsidR="00037FE8">
      <w:rPr>
        <w:rFonts w:ascii="Times New Roman" w:hAnsi="Times New Roman"/>
      </w:rPr>
      <w:t>...................</w:t>
    </w:r>
    <w:r>
      <w:rPr>
        <w:rFonts w:ascii="Times New Roman" w:hAnsi="Times New Roman"/>
      </w:rPr>
      <w:t>..</w:t>
    </w:r>
  </w:p>
  <w:p w:rsidR="00037FE8" w:rsidRPr="00D02055" w:rsidRDefault="00037FE8" w:rsidP="003E25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7FE8"/>
    <w:rsid w:val="0014387E"/>
    <w:rsid w:val="00175DA6"/>
    <w:rsid w:val="00192AF0"/>
    <w:rsid w:val="003E25ED"/>
    <w:rsid w:val="00557A13"/>
    <w:rsid w:val="005C3913"/>
    <w:rsid w:val="00621848"/>
    <w:rsid w:val="006C47F7"/>
    <w:rsid w:val="007353A8"/>
    <w:rsid w:val="00885111"/>
    <w:rsid w:val="00950A79"/>
    <w:rsid w:val="00A6042F"/>
    <w:rsid w:val="00B02A7D"/>
    <w:rsid w:val="00B3600E"/>
    <w:rsid w:val="00B94CBF"/>
    <w:rsid w:val="00D02055"/>
    <w:rsid w:val="00D2079C"/>
    <w:rsid w:val="00D23F11"/>
    <w:rsid w:val="00EA6853"/>
    <w:rsid w:val="00ED3AA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7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7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10</cp:revision>
  <cp:lastPrinted>2017-02-01T11:32:00Z</cp:lastPrinted>
  <dcterms:created xsi:type="dcterms:W3CDTF">2017-01-25T10:40:00Z</dcterms:created>
  <dcterms:modified xsi:type="dcterms:W3CDTF">2018-06-26T12:35:00Z</dcterms:modified>
</cp:coreProperties>
</file>